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Информация: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В соответствии с Порядком предоставления земельных участков в собственность бесплатно, утвержденным </w:t>
      </w:r>
      <w:r>
        <w:rPr>
          <w:rFonts w:cs="Times New Roman" w:ascii="Times New Roman" w:hAnsi="Times New Roman"/>
          <w:sz w:val="24"/>
          <w:szCs w:val="24"/>
        </w:rPr>
        <w:t xml:space="preserve">Законом Иркутской области от 28.12.2015  № 146-ОЗ «О бесплатном предоставлении земельных участков в собственность граждан» (далее – Закон № 146-ОЗ), уполномоченный орган </w:t>
      </w:r>
      <w:r>
        <w:rPr>
          <w:rFonts w:eastAsia="Calibri" w:cs="Times New Roman" w:ascii="Times New Roman" w:hAnsi="Times New Roman"/>
          <w:sz w:val="24"/>
          <w:szCs w:val="24"/>
        </w:rPr>
        <w:t>в течение пяти рабочих дней после размещения перечня земельных участков на официальном сайте Администрации городского поселения Тайтурского муниципального образования информирует граждан, состоящих на земельном учете, о дате, времени и месте проведения выбора земельных участков путем вручения извещения гражданину лично под роспись либо направления его заказным письмом с уведомлением о вручении по адресу, указанному в заявлении о постановке на учет.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 дня проведения выбора земельных участков граждане, состоящие на земельном учете, вправе ознакомиться в уполномоченном органе с информацией о предлагаемых на выбор земельных участках.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Проведение выбора земельных участков осуществляется не ранее 20 рабочих дней со дня размещения перечня земельных участков на официальном сайте уполномоченного органа.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проведении выбора земельных участков уполномоченным органом осуществляется регистрация участвующих в выборе граждан, состоящих на земельном учете, ведение протокола проведения выбора земельных участков, в который включается информация об участвующих в выборе земельных участков гражданах, состоящих на земельном учете, выбранных ими земельных участках, гражданах, отказавшихся от предоставленных на выбор земельных участков.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Уполномоченный орган предлагает гражданам, состоящим на земельном учете, выбрать земельный участок из числа земельных участков, включенных в перечень, в порядке очередности постановки заявителей на земельный учет.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случае отказа гражданина, состоящего на земельном учете, от предоставленных на выбор земельных участков данные земельные участки предлагаются другим гражданам, состоящим на земельном учете, в порядке очередности их постановки на земельный учет.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Граждане, состоящие на земельном учете, отказавшиеся от предложенных на выбор земельных участков, с земельного учета не снимаются.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десяти рабочих дней со дня осуществления выбора земельного участка гражданин, состоящий на земельном учете, обращается в уполномоченный орган с заявлением о предварительном согласовании предоставления выбранного земельного участка в собственность бесплатно либо с заявлением о предоставлении земельного участка в собственность бесплатно.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заявлении о предварительном согласовании предоставления земельного участка в собственность бесплатно указываются: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4) цель использования земельного участка.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заявлении о предоставлении земельного участка в собственность бесплатно указываются: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площадь, кадастровый номер;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4) цель использования земельного участка.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Граждане, состоящие на земельном учете, извещенные о проведении выбора земельных участков и не явившиеся для выбора земельных участков, а также граждане, не представившие заявление о предварительном согласовании предоставления выбранного земельного участка в собственность бесплатно либо заявление о предоставлении земельного участка в собственность бесплатно в течение десяти рабочих дней со дня проведения выбора земельных участков, считаются отказавшимися от предоставленных на выбор земельных участков.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sz w:val="24"/>
          <w:szCs w:val="24"/>
          <w:u w:val="single"/>
        </w:rPr>
      </w:pPr>
      <w:r>
        <w:rPr>
          <w:rFonts w:eastAsia="Calibri" w:cs="Times New Roman" w:ascii="Times New Roman" w:hAnsi="Times New Roman"/>
          <w:sz w:val="24"/>
          <w:szCs w:val="24"/>
          <w:u w:val="single"/>
        </w:rPr>
        <w:t xml:space="preserve">В случае подачи заявления представителем, к заявлению должен прилагаться документ, подтверждающий полномочия лица, подписавшего заявление. Осуществление выбора земельного участка, а также предоставление заявления о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предварительном согласовании </w:t>
      </w:r>
      <w:r>
        <w:rPr>
          <w:rFonts w:eastAsia="Calibri" w:cs="Times New Roman" w:ascii="Times New Roman" w:hAnsi="Times New Roman"/>
          <w:sz w:val="24"/>
          <w:szCs w:val="24"/>
          <w:u w:val="single"/>
        </w:rPr>
        <w:t>предоставления земельного участка осуществляется всеми членами многодетной семьи, достигшими возраста 14 лет.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земельных участков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целях предоставления гражданам, имеющим право на льготы и состоящим на учете 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в Тайтурском муниципальном образовании 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соответствии с Законом Иркутской области от 28 декабря 2015 года № 146-ОЗ 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 бесплатном предоставлении земельных участков в собственность граждан»</w:t>
      </w:r>
    </w:p>
    <w:p>
      <w:pPr>
        <w:pStyle w:val="NoSpacing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(утвержден распоряжением главы администрации Тайтурского муниципального образования № 8-р от 31.01.2020г.)</w:t>
      </w:r>
    </w:p>
    <w:tbl>
      <w:tblPr>
        <w:tblW w:w="15781" w:type="dxa"/>
        <w:jc w:val="left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0"/>
        <w:gridCol w:w="2272"/>
        <w:gridCol w:w="1152"/>
        <w:gridCol w:w="2115"/>
        <w:gridCol w:w="2010"/>
        <w:gridCol w:w="1500"/>
        <w:gridCol w:w="1560"/>
        <w:gridCol w:w="1842"/>
        <w:gridCol w:w="2738"/>
      </w:tblGrid>
      <w:tr>
        <w:trPr/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№ </w:t>
            </w:r>
            <w:r>
              <w:rPr>
                <w:rFonts w:cs="Times New Roman" w:ascii="Times New Roman" w:hAnsi="Times New Roman"/>
              </w:rPr>
              <w:t>п/п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Местоположение (адрес)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Площадь, кв.м.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Территориальные зоны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Вид разрешенного использования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Категория земель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Координаты земельного участка или кадастровый номер</w:t>
            </w:r>
          </w:p>
        </w:tc>
        <w:tc>
          <w:tcPr>
            <w:tcW w:w="2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Информация об обеспеченности земельного участка сетями </w:t>
            </w:r>
          </w:p>
        </w:tc>
      </w:tr>
      <w:tr>
        <w:trPr/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Y</w:t>
            </w:r>
          </w:p>
        </w:tc>
        <w:tc>
          <w:tcPr>
            <w:tcW w:w="2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ул. Молодёжная, 5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1480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448293                3277926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448311                3277958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448346                3277938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448328                3277906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448293                3277926</w:t>
            </w:r>
          </w:p>
        </w:tc>
        <w:tc>
          <w:tcPr>
            <w:tcW w:w="273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  <w:p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Сети инженерно-технического обеспечения (</w:t>
            </w:r>
            <w:r>
              <w:rPr>
                <w:rFonts w:ascii="Times New Roman" w:hAnsi="Times New Roman"/>
                <w:color w:val="000000"/>
              </w:rPr>
              <w:t>тепло-, газо-, водоснабжения и водоотведения) отсутствуют.</w:t>
            </w:r>
          </w:p>
          <w:p>
            <w:pPr>
              <w:pStyle w:val="NoSpacing"/>
              <w:jc w:val="center"/>
              <w:rPr/>
            </w:pPr>
            <w:r>
              <w:rPr>
                <w:rFonts w:ascii="Times New Roman" w:hAnsi="Times New Roman"/>
                <w:color w:val="000000"/>
              </w:rPr>
              <w:t xml:space="preserve">Подключение к электрическим сетям осуществляется в соответствии с </w:t>
            </w:r>
            <w:r>
              <w:rPr>
                <w:rFonts w:ascii="Times New Roman" w:hAnsi="Times New Roman"/>
                <w:bCs/>
                <w:color w:val="000000"/>
              </w:rPr>
              <w:t xml:space="preserve">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</w:t>
            </w:r>
            <w:hyperlink w:anchor="sub_0">
              <w:r>
                <w:rPr>
                  <w:rStyle w:val="Style16"/>
                  <w:rFonts w:ascii="Times New Roman" w:hAnsi="Times New Roman"/>
                  <w:color w:val="000000"/>
                </w:rPr>
                <w:t>постановлением</w:t>
              </w:r>
            </w:hyperlink>
            <w:r>
              <w:rPr>
                <w:rFonts w:ascii="Times New Roman" w:hAnsi="Times New Roman"/>
                <w:bCs/>
                <w:color w:val="000000"/>
              </w:rPr>
              <w:t xml:space="preserve"> Правительства Российской Федерации от 27 декабря 2004 года  № 861.</w:t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ул. Молодежная, 9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1480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448339                3278007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448358                3278039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448392                3278020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448373                3277987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448339                3278007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ул. Молодежная, 11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1470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448358                3278039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448377                3278072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448411                3278053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448392                3278020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448358                3278039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Иркутская область, Усольский район,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ул. Молодежная, 13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1170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448399                3278111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448414                3278136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448448                3278116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448433                3278091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448399                3278111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ул. Свердлова, 26а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1370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448067   3277658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448058   3277643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447992   3277685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448002   3277700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448068   3277659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448067   3277658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Холмушино, ул. Набережная, 8а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38:16:000009:617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Холмушино, ул. Набережная, 8б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38:16:000009:618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с. Холмушино, ул. Набережная, 126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38:16:000009:554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д. Кочерикова, ул. Курортная, 3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457829   3275381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457859   3275373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457876   3275436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457846   3275444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457829   3275381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пер. Железнодорожный, 7б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816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38:16:000017:2082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ул. Полевая, 40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38:16:000017:1970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ул. Свердлова, 35б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1500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448216  3277742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448231  3277764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448183  3277795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448169  3277772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448216  3277742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  <w:tr>
        <w:trPr>
          <w:trHeight w:val="1062" w:hRule="atLeast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22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р.п. Тайтурка, ул. Новая, 31а</w:t>
            </w:r>
          </w:p>
        </w:tc>
        <w:tc>
          <w:tcPr>
            <w:tcW w:w="11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1230</w:t>
            </w:r>
          </w:p>
        </w:tc>
        <w:tc>
          <w:tcPr>
            <w:tcW w:w="2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застройки индивидуальными жилыми домами</w:t>
            </w:r>
          </w:p>
        </w:tc>
        <w:tc>
          <w:tcPr>
            <w:tcW w:w="2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1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Земли населенных пунктов</w:t>
            </w:r>
          </w:p>
        </w:tc>
        <w:tc>
          <w:tcPr>
            <w:tcW w:w="3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448983  3277937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449000  3277958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448969  3277982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448944  3277960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448983  3277937</w:t>
            </w:r>
          </w:p>
        </w:tc>
        <w:tc>
          <w:tcPr>
            <w:tcW w:w="273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Spacing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</w:r>
          </w:p>
        </w:tc>
      </w:tr>
    </w:tbl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р.п. Тайтурка, ул. Молодёжная, 5, 9, 11, 13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9972040" cy="4964430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р.п. Тайтурка, ул. Свердлова, 26А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9239250" cy="495300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Холмушино, ул. Набережная, 8а, 8б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9315450" cy="5248275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Холмушино, ул. Набережная, 126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9525">
            <wp:extent cx="7858125" cy="5334000"/>
            <wp:effectExtent l="0" t="0" r="0" b="0"/>
            <wp:docPr id="4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д. Кочерикова, ул. Курортная, 3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8420100" cy="531495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р.п. Тайтурка, пер. Железнодорожный,  7б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/>
        <w:drawing>
          <wp:inline distT="0" distB="9525" distL="0" distR="9525">
            <wp:extent cx="7839075" cy="5210175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Иркутская область, Усольский район, р.п. Тайтурка</w:t>
      </w:r>
      <w:r>
        <w:rPr>
          <w:rFonts w:cs="Times New Roman" w:ascii="Times New Roman" w:hAnsi="Times New Roman"/>
          <w:sz w:val="24"/>
          <w:szCs w:val="24"/>
        </w:rPr>
        <w:t>, ул. Полевая, 40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9525" distL="0" distR="9525">
            <wp:extent cx="9324975" cy="5038725"/>
            <wp:effectExtent l="0" t="0" r="0" b="0"/>
            <wp:docPr id="7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Иркутская область, Усольский район, р.п. Тайтурка</w:t>
      </w:r>
      <w:r>
        <w:rPr>
          <w:rFonts w:cs="Times New Roman" w:ascii="Times New Roman" w:hAnsi="Times New Roman"/>
          <w:sz w:val="24"/>
          <w:szCs w:val="24"/>
        </w:rPr>
        <w:t>, ул. Свердлова, 35б</w:t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9353550" cy="497205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left" w:pos="1374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tLeast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Иркутская область, Усольский район, р.п. Тайтурка</w:t>
      </w:r>
      <w:r>
        <w:rPr>
          <w:rFonts w:cs="Times New Roman" w:ascii="Times New Roman" w:hAnsi="Times New Roman"/>
          <w:sz w:val="24"/>
          <w:szCs w:val="24"/>
        </w:rPr>
        <w:t>, ул. Новая, 31а</w:t>
      </w:r>
    </w:p>
    <w:p>
      <w:pPr>
        <w:pStyle w:val="Normal"/>
        <w:tabs>
          <w:tab w:val="left" w:pos="13740" w:leader="none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left" w:pos="13740" w:leader="none"/>
        </w:tabs>
        <w:spacing w:before="0" w:after="200"/>
        <w:jc w:val="center"/>
        <w:rPr/>
      </w:pPr>
      <w:r>
        <w:rPr/>
        <w:drawing>
          <wp:inline distT="0" distB="3175" distL="0" distR="0">
            <wp:extent cx="9972040" cy="5121910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type w:val="nextPage"/>
      <w:pgSz w:orient="landscape" w:w="16838" w:h="11906"/>
      <w:pgMar w:left="567" w:right="567" w:header="708" w:top="765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a505fb"/>
    <w:rPr>
      <w:rFonts w:ascii="Tahoma" w:hAnsi="Tahoma" w:cs="Tahoma"/>
      <w:sz w:val="16"/>
      <w:szCs w:val="16"/>
    </w:rPr>
  </w:style>
  <w:style w:type="character" w:styleId="Style14" w:customStyle="1">
    <w:name w:val="Верхний колонтитул Знак"/>
    <w:basedOn w:val="DefaultParagraphFont"/>
    <w:link w:val="a5"/>
    <w:uiPriority w:val="99"/>
    <w:semiHidden/>
    <w:qFormat/>
    <w:rsid w:val="00576459"/>
    <w:rPr/>
  </w:style>
  <w:style w:type="character" w:styleId="Style15" w:customStyle="1">
    <w:name w:val="Нижний колонтитул Знак"/>
    <w:basedOn w:val="DefaultParagraphFont"/>
    <w:link w:val="a7"/>
    <w:uiPriority w:val="99"/>
    <w:semiHidden/>
    <w:qFormat/>
    <w:rsid w:val="00576459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151ab3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Style16">
    <w:name w:val="Интернет-ссылка"/>
    <w:basedOn w:val="DefaultParagraphFont"/>
    <w:rsid w:val="00151ab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51ab3"/>
    <w:rPr>
      <w:color w:val="800080"/>
      <w:u w:val="single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a505f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Header"/>
    <w:basedOn w:val="Normal"/>
    <w:link w:val="a6"/>
    <w:uiPriority w:val="99"/>
    <w:semiHidden/>
    <w:unhideWhenUsed/>
    <w:rsid w:val="0057645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semiHidden/>
    <w:unhideWhenUsed/>
    <w:rsid w:val="0057645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576459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NormalWeb">
    <w:name w:val="Normal (Web)"/>
    <w:basedOn w:val="Normal"/>
    <w:uiPriority w:val="99"/>
    <w:unhideWhenUsed/>
    <w:qFormat/>
    <w:rsid w:val="00151ab3"/>
    <w:pPr>
      <w:spacing w:lineRule="auto" w:line="240" w:beforeAutospacing="1" w:afterAutospacing="1"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3b01b0"/>
    <w:pPr>
      <w:spacing w:before="0" w:after="200"/>
      <w:ind w:left="720" w:hanging="0"/>
      <w:contextualSpacing/>
    </w:pPr>
    <w:rPr>
      <w:rFonts w:eastAsia="" w:eastAsiaTheme="minorEastAsia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Application>LibreOffice/5.4.1.2$Windows_x86 LibreOffice_project/ea7cb86e6eeb2bf3a5af73a8f7777ac570321527</Application>
  <Pages>13</Pages>
  <Words>1166</Words>
  <Characters>8414</Characters>
  <CharactersWithSpaces>9738</CharactersWithSpaces>
  <Paragraphs>202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2019-06-04T02:41:00Z</dcterms:created>
  <dc:creator>Слесаренко Елена Станиславовна</dc:creator>
  <dc:description/>
  <dc:language>ru-RU</dc:language>
  <cp:lastModifiedBy/>
  <cp:lastPrinted>2019-06-04T01:56:00Z</cp:lastPrinted>
  <dcterms:modified xsi:type="dcterms:W3CDTF">2020-02-27T11:31:15Z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